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461A4F8D" w:rsidR="009B6F95" w:rsidRPr="00C803F3" w:rsidRDefault="006C6551">
      <w:r>
        <w:rPr>
          <w:b/>
          <w:sz w:val="32"/>
          <w:szCs w:val="24"/>
        </w:rPr>
        <w:t xml:space="preserve">Major Conditions Strategy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717AC389" w:rsidR="00795C95" w:rsidRPr="00B66284" w:rsidRDefault="006C6551" w:rsidP="00B84F31">
          <w:pPr>
            <w:ind w:left="0" w:firstLine="0"/>
            <w:rPr>
              <w:rStyle w:val="Title3Char"/>
              <w:b w:val="0"/>
              <w:bCs w:val="0"/>
            </w:rPr>
          </w:pPr>
          <w:r>
            <w:rPr>
              <w:rStyle w:val="Title3Char"/>
              <w:b w:val="0"/>
              <w:bCs w:val="0"/>
            </w:rPr>
            <w:t>For direction.</w:t>
          </w:r>
        </w:p>
      </w:sdtContent>
    </w:sdt>
    <w:p w14:paraId="4DECE816" w14:textId="4359F54D" w:rsidR="00167476" w:rsidRDefault="00167476" w:rsidP="00726512">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35720CBB" w:rsidR="0082567F" w:rsidRPr="00203F6F" w:rsidRDefault="006C6551" w:rsidP="0082567F">
      <w:pPr>
        <w:pStyle w:val="MainText"/>
        <w:rPr>
          <w:rFonts w:ascii="Arial" w:hAnsi="Arial" w:cs="Arial"/>
          <w:szCs w:val="22"/>
        </w:rPr>
      </w:pPr>
      <w:r>
        <w:rPr>
          <w:rFonts w:ascii="Arial" w:hAnsi="Arial" w:cs="Arial"/>
          <w:szCs w:val="22"/>
        </w:rPr>
        <w:t>This report provides the context to the presentation from</w:t>
      </w:r>
      <w:r w:rsidR="00BB7083" w:rsidRPr="00BB7083">
        <w:rPr>
          <w:rFonts w:ascii="Arial" w:eastAsiaTheme="minorHAnsi" w:hAnsi="Arial" w:cstheme="minorBidi"/>
          <w:szCs w:val="22"/>
          <w:lang w:eastAsia="en-US"/>
        </w:rPr>
        <w:t xml:space="preserve"> </w:t>
      </w:r>
      <w:r w:rsidR="00BB7083" w:rsidRPr="00BB7083">
        <w:rPr>
          <w:rFonts w:ascii="Arial" w:hAnsi="Arial" w:cs="Arial"/>
          <w:szCs w:val="22"/>
        </w:rPr>
        <w:t xml:space="preserve">Jennifer Benjamin, Deputy Director for Policy Provision and Accountability in the </w:t>
      </w:r>
      <w:r w:rsidR="002F26E4" w:rsidRPr="00BB7083">
        <w:rPr>
          <w:rFonts w:ascii="Arial" w:hAnsi="Arial" w:cs="Arial"/>
          <w:szCs w:val="22"/>
        </w:rPr>
        <w:t>DHSC</w:t>
      </w:r>
      <w:r w:rsidR="002F26E4">
        <w:rPr>
          <w:rFonts w:ascii="Arial" w:hAnsi="Arial" w:cs="Arial"/>
          <w:szCs w:val="22"/>
        </w:rPr>
        <w:t xml:space="preserve"> who</w:t>
      </w:r>
      <w:r w:rsidR="00DA271F">
        <w:rPr>
          <w:rFonts w:ascii="Arial" w:hAnsi="Arial" w:cs="Arial"/>
          <w:szCs w:val="22"/>
        </w:rPr>
        <w:t xml:space="preserve"> will </w:t>
      </w:r>
      <w:r>
        <w:rPr>
          <w:rFonts w:ascii="Arial" w:hAnsi="Arial" w:cs="Arial"/>
          <w:szCs w:val="22"/>
        </w:rPr>
        <w:t xml:space="preserve">give a progress report on the Major Conditions Strategy </w:t>
      </w:r>
      <w:r w:rsidR="009873C9">
        <w:rPr>
          <w:rFonts w:ascii="Arial" w:hAnsi="Arial" w:cs="Arial"/>
          <w:szCs w:val="22"/>
        </w:rPr>
        <w:t>and will</w:t>
      </w:r>
      <w:r w:rsidR="009B45F2">
        <w:rPr>
          <w:rFonts w:ascii="Arial" w:hAnsi="Arial" w:cs="Arial"/>
          <w:szCs w:val="22"/>
        </w:rPr>
        <w:t xml:space="preserve"> </w:t>
      </w:r>
      <w:r w:rsidR="00874D11">
        <w:rPr>
          <w:rFonts w:ascii="Arial" w:hAnsi="Arial" w:cs="Arial"/>
          <w:szCs w:val="22"/>
        </w:rPr>
        <w:t>seek the</w:t>
      </w:r>
      <w:r>
        <w:rPr>
          <w:rFonts w:ascii="Arial" w:hAnsi="Arial" w:cs="Arial"/>
          <w:szCs w:val="22"/>
        </w:rPr>
        <w:t xml:space="preserve"> views of the Community Wellbeing Board. </w:t>
      </w:r>
      <w:r w:rsidR="009B45F2">
        <w:rPr>
          <w:rFonts w:ascii="Arial" w:hAnsi="Arial" w:cs="Arial"/>
          <w:szCs w:val="22"/>
        </w:rPr>
        <w:t>The report sets out the</w:t>
      </w:r>
      <w:r>
        <w:rPr>
          <w:rFonts w:ascii="Arial" w:hAnsi="Arial" w:cs="Arial"/>
          <w:szCs w:val="22"/>
        </w:rPr>
        <w:t xml:space="preserve"> proposed policy lines in respect of the strategy</w:t>
      </w:r>
      <w:r w:rsidR="003C1758">
        <w:rPr>
          <w:rFonts w:ascii="Arial" w:hAnsi="Arial" w:cs="Arial"/>
          <w:szCs w:val="22"/>
        </w:rPr>
        <w:t xml:space="preserve"> and seeks the views of Board members. </w:t>
      </w:r>
    </w:p>
    <w:p w14:paraId="4207AE82" w14:textId="095C51A1" w:rsidR="009B6F95" w:rsidRDefault="009B6F95" w:rsidP="00726512">
      <w:pPr>
        <w:pStyle w:val="Title3"/>
      </w:pPr>
    </w:p>
    <w:p w14:paraId="669BB848" w14:textId="7EBE95A8" w:rsidR="00E272FA" w:rsidRDefault="00BC768C" w:rsidP="00726512">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6C6551">
            <w:rPr>
              <w:rStyle w:val="ReportTemplate"/>
              <w:b w:val="0"/>
              <w:bCs w:val="0"/>
            </w:rPr>
            <w:t>Putting people first</w:t>
          </w:r>
        </w:sdtContent>
      </w:sdt>
    </w:p>
    <w:p w14:paraId="065258CB" w14:textId="15CCFB43" w:rsidR="00F56CEF" w:rsidRDefault="00F56CEF" w:rsidP="00726512">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7BBE1B79">
                <wp:simplePos x="0" y="0"/>
                <wp:positionH relativeFrom="margin">
                  <wp:align>right</wp:align>
                </wp:positionH>
                <wp:positionV relativeFrom="paragraph">
                  <wp:posOffset>2141</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9B7CFA0" w:rsidR="000F69FB" w:rsidRPr="00A627DD" w:rsidRDefault="00E272FA" w:rsidP="00E272FA">
                                <w:pPr>
                                  <w:pStyle w:val="Heading2"/>
                                </w:pPr>
                                <w:r>
                                  <w:t>Recommendation</w:t>
                                </w:r>
                              </w:p>
                            </w:sdtContent>
                          </w:sdt>
                          <w:p w14:paraId="140AACB6" w14:textId="77777777" w:rsidR="00E272FA" w:rsidRDefault="00E272FA" w:rsidP="00726512">
                            <w:pPr>
                              <w:pStyle w:val="Title3"/>
                            </w:pPr>
                          </w:p>
                          <w:p w14:paraId="7B58A0F3" w14:textId="21592F7E" w:rsidR="006C6551" w:rsidRPr="00B66284" w:rsidRDefault="00E272FA" w:rsidP="00726512">
                            <w:pPr>
                              <w:pStyle w:val="Title3"/>
                            </w:pPr>
                            <w:r w:rsidRPr="00B66284">
                              <w:t xml:space="preserve">That the </w:t>
                            </w:r>
                            <w:r w:rsidR="006C6551">
                              <w:t xml:space="preserve">Community Wellbeing </w:t>
                            </w:r>
                            <w:r w:rsidRPr="00B66284">
                              <w:t>Board</w:t>
                            </w:r>
                            <w:r w:rsidR="006C6551">
                              <w:t xml:space="preserve"> discuss and agree th</w:t>
                            </w:r>
                            <w:r w:rsidR="00424526">
                              <w:t>e</w:t>
                            </w:r>
                            <w:r w:rsidR="006C6551">
                              <w:t xml:space="preserve"> proposed initial policy lines in respect of the Major Conditions Strategy</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5pt;width:449.25pt;height:1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9B7CFA0" w:rsidR="000F69FB" w:rsidRPr="00A627DD" w:rsidRDefault="00E272FA" w:rsidP="00E272FA">
                          <w:pPr>
                            <w:pStyle w:val="Heading2"/>
                          </w:pPr>
                          <w:r>
                            <w:t>Recommendation</w:t>
                          </w:r>
                        </w:p>
                      </w:sdtContent>
                    </w:sdt>
                    <w:p w14:paraId="140AACB6" w14:textId="77777777" w:rsidR="00E272FA" w:rsidRDefault="00E272FA" w:rsidP="00726512">
                      <w:pPr>
                        <w:pStyle w:val="Title3"/>
                      </w:pPr>
                    </w:p>
                    <w:p w14:paraId="7B58A0F3" w14:textId="21592F7E" w:rsidR="006C6551" w:rsidRPr="00B66284" w:rsidRDefault="00E272FA" w:rsidP="00726512">
                      <w:pPr>
                        <w:pStyle w:val="Title3"/>
                      </w:pPr>
                      <w:r w:rsidRPr="00B66284">
                        <w:t xml:space="preserve">That the </w:t>
                      </w:r>
                      <w:r w:rsidR="006C6551">
                        <w:t xml:space="preserve">Community Wellbeing </w:t>
                      </w:r>
                      <w:r w:rsidRPr="00B66284">
                        <w:t>Board</w:t>
                      </w:r>
                      <w:r w:rsidR="006C6551">
                        <w:t xml:space="preserve"> discuss and agree th</w:t>
                      </w:r>
                      <w:r w:rsidR="00424526">
                        <w:t>e</w:t>
                      </w:r>
                      <w:r w:rsidR="006C6551">
                        <w:t xml:space="preserve"> proposed initial policy lines in respect of the Major Conditions Strategy</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726512">
      <w:pPr>
        <w:pStyle w:val="Title3"/>
      </w:pPr>
    </w:p>
    <w:p w14:paraId="19626BE9" w14:textId="77777777" w:rsidR="009B6F95" w:rsidRDefault="009B6F95" w:rsidP="00726512">
      <w:pPr>
        <w:pStyle w:val="Title3"/>
      </w:pPr>
    </w:p>
    <w:p w14:paraId="6FD279E5" w14:textId="77777777" w:rsidR="009B6F95" w:rsidRDefault="009B6F95" w:rsidP="00726512">
      <w:pPr>
        <w:pStyle w:val="Title3"/>
      </w:pPr>
    </w:p>
    <w:p w14:paraId="789B457E" w14:textId="77777777" w:rsidR="009B6F95" w:rsidRDefault="009B6F95" w:rsidP="00726512">
      <w:pPr>
        <w:pStyle w:val="Title3"/>
      </w:pPr>
    </w:p>
    <w:p w14:paraId="77C5E3FD" w14:textId="77777777" w:rsidR="009B6F95" w:rsidRDefault="009B6F95" w:rsidP="00726512">
      <w:pPr>
        <w:pStyle w:val="Title3"/>
      </w:pPr>
    </w:p>
    <w:p w14:paraId="7DC84C6E" w14:textId="77777777" w:rsidR="009B6F95" w:rsidRDefault="009B6F95" w:rsidP="00726512">
      <w:pPr>
        <w:pStyle w:val="Title3"/>
      </w:pPr>
    </w:p>
    <w:p w14:paraId="30459D7F" w14:textId="77777777" w:rsidR="00605E06" w:rsidRDefault="00605E06" w:rsidP="00726512">
      <w:pPr>
        <w:pStyle w:val="Title3"/>
      </w:pPr>
    </w:p>
    <w:p w14:paraId="0659F67D" w14:textId="14F258CE" w:rsidR="00E272FA" w:rsidRDefault="00605E06" w:rsidP="00726512">
      <w:pPr>
        <w:pStyle w:val="Title3"/>
      </w:pPr>
      <w:r>
        <w:t>C</w:t>
      </w:r>
      <w:r w:rsidR="00E272FA">
        <w:t>ontact details</w:t>
      </w:r>
    </w:p>
    <w:p w14:paraId="4451C8B1" w14:textId="3FC69A3E" w:rsidR="00E272FA" w:rsidRPr="00B66284" w:rsidRDefault="00E272FA" w:rsidP="00E272FA">
      <w:pPr>
        <w:spacing w:after="120"/>
        <w:rPr>
          <w:sz w:val="24"/>
          <w:szCs w:val="24"/>
        </w:rPr>
      </w:pPr>
      <w:r w:rsidRPr="00B66284">
        <w:rPr>
          <w:sz w:val="24"/>
          <w:szCs w:val="24"/>
        </w:rPr>
        <w:t xml:space="preserve">Contact officer: </w:t>
      </w:r>
      <w:r w:rsidR="006C6551">
        <w:rPr>
          <w:sz w:val="24"/>
          <w:szCs w:val="24"/>
        </w:rPr>
        <w:t>Alyson Morley</w:t>
      </w:r>
    </w:p>
    <w:p w14:paraId="108CF962" w14:textId="1DF4A7D1" w:rsidR="00E272FA" w:rsidRPr="00B66284" w:rsidRDefault="00E272FA" w:rsidP="00E272FA">
      <w:pPr>
        <w:spacing w:after="120"/>
        <w:rPr>
          <w:sz w:val="24"/>
          <w:szCs w:val="24"/>
        </w:rPr>
      </w:pPr>
      <w:r w:rsidRPr="00B66284">
        <w:rPr>
          <w:sz w:val="24"/>
          <w:szCs w:val="24"/>
        </w:rPr>
        <w:t>Position:</w:t>
      </w:r>
      <w:r w:rsidR="006C6551">
        <w:rPr>
          <w:sz w:val="24"/>
          <w:szCs w:val="24"/>
        </w:rPr>
        <w:t xml:space="preserve"> Senior Policy Adviser</w:t>
      </w:r>
    </w:p>
    <w:p w14:paraId="0B47D83B" w14:textId="58BFD65E" w:rsidR="00E272FA" w:rsidRPr="00B66284" w:rsidRDefault="00E272FA" w:rsidP="00E272FA">
      <w:pPr>
        <w:spacing w:after="120"/>
        <w:rPr>
          <w:sz w:val="24"/>
          <w:szCs w:val="24"/>
        </w:rPr>
      </w:pPr>
      <w:r w:rsidRPr="00B66284">
        <w:rPr>
          <w:sz w:val="24"/>
          <w:szCs w:val="24"/>
        </w:rPr>
        <w:t xml:space="preserve">Phone no: </w:t>
      </w:r>
      <w:r w:rsidR="006C6551">
        <w:rPr>
          <w:sz w:val="24"/>
          <w:szCs w:val="24"/>
        </w:rPr>
        <w:t>07544 765 130</w:t>
      </w:r>
      <w:r w:rsidRPr="00B66284">
        <w:rPr>
          <w:sz w:val="24"/>
          <w:szCs w:val="24"/>
        </w:rPr>
        <w:t xml:space="preserve"> </w:t>
      </w:r>
    </w:p>
    <w:p w14:paraId="5E3F08AD" w14:textId="07C3403A" w:rsidR="00E272FA" w:rsidRDefault="00E272FA" w:rsidP="00E272FA">
      <w:pPr>
        <w:spacing w:after="120"/>
        <w:rPr>
          <w:rStyle w:val="Hyperlink"/>
          <w:sz w:val="24"/>
          <w:szCs w:val="24"/>
        </w:rPr>
      </w:pPr>
      <w:r w:rsidRPr="00605E06">
        <w:rPr>
          <w:sz w:val="24"/>
          <w:szCs w:val="24"/>
        </w:rPr>
        <w:t>Email</w:t>
      </w:r>
      <w:r w:rsidRPr="00B66284">
        <w:rPr>
          <w:sz w:val="24"/>
          <w:szCs w:val="24"/>
        </w:rPr>
        <w:t>:</w:t>
      </w:r>
      <w:r w:rsidRPr="00B66284">
        <w:rPr>
          <w:sz w:val="24"/>
          <w:szCs w:val="24"/>
        </w:rPr>
        <w:tab/>
      </w:r>
      <w:hyperlink r:id="rId11" w:history="1">
        <w:r w:rsidR="006C6551" w:rsidRPr="00982B78">
          <w:rPr>
            <w:rStyle w:val="Hyperlink"/>
            <w:sz w:val="24"/>
            <w:szCs w:val="24"/>
          </w:rPr>
          <w:t>alyson.morley@local.gov.uk</w:t>
        </w:r>
      </w:hyperlink>
      <w:r w:rsidR="006C6551">
        <w:rPr>
          <w:rStyle w:val="Hyperlink"/>
          <w:sz w:val="24"/>
          <w:szCs w:val="24"/>
        </w:rPr>
        <w:t xml:space="preserve"> </w:t>
      </w:r>
    </w:p>
    <w:p w14:paraId="6883A0F3" w14:textId="77777777" w:rsidR="003C1758" w:rsidRPr="00B66284" w:rsidRDefault="003C1758" w:rsidP="00E272FA">
      <w:pPr>
        <w:spacing w:after="120"/>
        <w:rPr>
          <w:rStyle w:val="Hyperlink"/>
          <w:sz w:val="24"/>
          <w:szCs w:val="24"/>
        </w:rPr>
      </w:pPr>
    </w:p>
    <w:p w14:paraId="06F36C5D" w14:textId="5695D88D" w:rsidR="00C803F3" w:rsidRDefault="006C6551" w:rsidP="00C16991">
      <w:pPr>
        <w:pStyle w:val="Title1"/>
        <w:pageBreakBefore/>
      </w:pPr>
      <w:r>
        <w:lastRenderedPageBreak/>
        <w:t xml:space="preserve">Major Conditions Strategy </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3869BA25" w14:textId="0CE98930" w:rsidR="00034D49" w:rsidRPr="00034D49" w:rsidRDefault="006C6551" w:rsidP="00034D49">
      <w:pPr>
        <w:pStyle w:val="ListParagraph"/>
        <w:numPr>
          <w:ilvl w:val="0"/>
          <w:numId w:val="3"/>
        </w:numPr>
        <w:spacing w:line="300" w:lineRule="atLeast"/>
        <w:contextualSpacing w:val="0"/>
      </w:pPr>
      <w:r>
        <w:t>At their meeting on 1 March</w:t>
      </w:r>
      <w:r w:rsidR="006E7CDA">
        <w:t>,</w:t>
      </w:r>
      <w:r>
        <w:t xml:space="preserve"> members of the Community Wellbeing Board and invited members of the Children and Young People’s Board noted the update report on the </w:t>
      </w:r>
      <w:r w:rsidR="006E7CDA">
        <w:t>Major Conditions Strategy</w:t>
      </w:r>
      <w:r w:rsidR="005A2485">
        <w:t xml:space="preserve"> (MCS</w:t>
      </w:r>
      <w:r w:rsidR="000D6C33">
        <w:t>),</w:t>
      </w:r>
      <w:r w:rsidR="008817E9">
        <w:t xml:space="preserve"> announced by Secretary of State for Health and Social Care</w:t>
      </w:r>
      <w:r w:rsidR="00034D49">
        <w:t>.</w:t>
      </w:r>
      <w:r w:rsidR="00034D49" w:rsidRPr="00034D49">
        <w:rPr>
          <w:sz w:val="24"/>
          <w:szCs w:val="24"/>
        </w:rPr>
        <w:t xml:space="preserve"> </w:t>
      </w:r>
      <w:r w:rsidR="00034D49" w:rsidRPr="00034D49">
        <w:t xml:space="preserve">The Secretary of State’s full statement is available </w:t>
      </w:r>
      <w:hyperlink r:id="rId12" w:tgtFrame="_blank" w:history="1">
        <w:r w:rsidR="00034D49" w:rsidRPr="00034D49">
          <w:rPr>
            <w:rStyle w:val="Hyperlink"/>
          </w:rPr>
          <w:t>here</w:t>
        </w:r>
      </w:hyperlink>
      <w:r w:rsidR="00034D49" w:rsidRPr="00034D49">
        <w:t>.</w:t>
      </w:r>
    </w:p>
    <w:p w14:paraId="38EEC9B0" w14:textId="042145C8" w:rsidR="006E7CDA" w:rsidRDefault="006E7CDA" w:rsidP="00605E06">
      <w:pPr>
        <w:pStyle w:val="ListParagraph"/>
        <w:numPr>
          <w:ilvl w:val="0"/>
          <w:numId w:val="3"/>
        </w:numPr>
        <w:spacing w:line="300" w:lineRule="atLeast"/>
        <w:contextualSpacing w:val="0"/>
      </w:pPr>
      <w:r>
        <w:t>The Board requested that LGA officers invite the Department of Health and Social Care to the next meeting of the Board</w:t>
      </w:r>
      <w:r w:rsidR="00187D2D">
        <w:t>.</w:t>
      </w:r>
      <w:r>
        <w:t xml:space="preserve"> </w:t>
      </w:r>
    </w:p>
    <w:p w14:paraId="4C5FEF1D" w14:textId="7D253E28" w:rsidR="006E7CDA" w:rsidRDefault="006E7CDA" w:rsidP="00E272FA">
      <w:pPr>
        <w:pStyle w:val="ListParagraph"/>
        <w:numPr>
          <w:ilvl w:val="0"/>
          <w:numId w:val="3"/>
        </w:numPr>
        <w:spacing w:line="300" w:lineRule="atLeast"/>
        <w:contextualSpacing w:val="0"/>
      </w:pPr>
      <w:r>
        <w:t xml:space="preserve">The report also set out all the LGA’s existing policy lines that are relevant to the Major Conditions Strategy and requested that </w:t>
      </w:r>
      <w:r w:rsidR="00AE1813">
        <w:t xml:space="preserve">the Board agree a few key messages to prioritise.  </w:t>
      </w:r>
    </w:p>
    <w:p w14:paraId="1B275458" w14:textId="77777777" w:rsidR="00E272FA" w:rsidRDefault="00E272FA" w:rsidP="00E272FA">
      <w:pPr>
        <w:pStyle w:val="Heading2"/>
      </w:pPr>
      <w:r>
        <w:t xml:space="preserve">Proposal </w:t>
      </w:r>
      <w:r w:rsidRPr="009E5E45">
        <w:rPr>
          <w:color w:val="C00000"/>
        </w:rPr>
        <w:t xml:space="preserve"> </w:t>
      </w:r>
    </w:p>
    <w:p w14:paraId="4EDB63EC" w14:textId="1CA6A4CB" w:rsidR="00E272FA" w:rsidRDefault="00AE1813" w:rsidP="00E272FA">
      <w:pPr>
        <w:pStyle w:val="ListParagraph"/>
        <w:numPr>
          <w:ilvl w:val="0"/>
          <w:numId w:val="3"/>
        </w:numPr>
        <w:spacing w:line="300" w:lineRule="atLeast"/>
        <w:contextualSpacing w:val="0"/>
      </w:pPr>
      <w:r>
        <w:t>Jennifer Benjamin, Deputy Director</w:t>
      </w:r>
      <w:r w:rsidR="00DA1C8C">
        <w:t xml:space="preserve"> for Policy Provision and Accountability</w:t>
      </w:r>
      <w:r>
        <w:t xml:space="preserve">, of the DHSC Systems, Integration and Reform Directorate, will attend the meeting to </w:t>
      </w:r>
      <w:r w:rsidR="00E01BDA">
        <w:t>provide an update on the scope and content of the</w:t>
      </w:r>
      <w:r w:rsidR="00BF4960">
        <w:t xml:space="preserve"> strategy, provide information on arrangements to engage local government stakeholders and to seek the views of the Community Wellbeing Board</w:t>
      </w:r>
      <w:r w:rsidR="00E50EE2">
        <w:t xml:space="preserve"> and invited Children and Young People Board members</w:t>
      </w:r>
      <w:r w:rsidR="00BF4960">
        <w:t xml:space="preserve">. </w:t>
      </w:r>
    </w:p>
    <w:p w14:paraId="508FE3A6" w14:textId="1F3DB6C9" w:rsidR="007536C1" w:rsidRDefault="00743874" w:rsidP="00E272FA">
      <w:pPr>
        <w:pStyle w:val="ListParagraph"/>
        <w:numPr>
          <w:ilvl w:val="0"/>
          <w:numId w:val="3"/>
        </w:numPr>
        <w:spacing w:line="300" w:lineRule="atLeast"/>
        <w:contextualSpacing w:val="0"/>
      </w:pPr>
      <w:r>
        <w:t xml:space="preserve">The meeting will also be an opportunity for </w:t>
      </w:r>
      <w:r w:rsidR="00E50EE2">
        <w:t>members</w:t>
      </w:r>
      <w:r>
        <w:t xml:space="preserve"> to agree the </w:t>
      </w:r>
      <w:r w:rsidR="00F5468B">
        <w:t>LGA’s key policy messages in respect on the Major Conditions Strategy</w:t>
      </w:r>
      <w:r w:rsidR="001B2D35">
        <w:t xml:space="preserve">. </w:t>
      </w:r>
      <w:r w:rsidR="005C3F53">
        <w:t xml:space="preserve">The </w:t>
      </w:r>
      <w:r w:rsidR="001B2D35">
        <w:t xml:space="preserve">Strategy </w:t>
      </w:r>
      <w:r w:rsidR="005C3F53">
        <w:t>will be broad ranging:  It</w:t>
      </w:r>
      <w:r w:rsidR="001B2D35">
        <w:t xml:space="preserve"> </w:t>
      </w:r>
      <w:r w:rsidR="00AB1BDC">
        <w:t xml:space="preserve">covers six conditions – </w:t>
      </w:r>
      <w:r w:rsidR="008504A7">
        <w:t>mental ill-health, chronic respiratory diseases, dementia</w:t>
      </w:r>
      <w:r w:rsidR="000A47B2">
        <w:t>, cardio-vascular disease, including diabetes and stroke</w:t>
      </w:r>
      <w:r w:rsidR="005C3F53">
        <w:t>,</w:t>
      </w:r>
      <w:r w:rsidR="000A47B2">
        <w:t xml:space="preserve"> and </w:t>
      </w:r>
      <w:r w:rsidR="00F5468B">
        <w:t xml:space="preserve"> </w:t>
      </w:r>
      <w:r w:rsidR="005C3F53">
        <w:t>musculoskeletal</w:t>
      </w:r>
      <w:r w:rsidR="00E208E5">
        <w:t xml:space="preserve"> conditions; it will address primary, secondary and tertiary prevention; and </w:t>
      </w:r>
      <w:r w:rsidR="00056FE1">
        <w:t xml:space="preserve">will </w:t>
      </w:r>
      <w:r w:rsidR="00E208E5">
        <w:t xml:space="preserve">consider </w:t>
      </w:r>
      <w:r w:rsidR="002460BD">
        <w:t xml:space="preserve">how health inequalities impacts on the care and support of people with major conditions.  </w:t>
      </w:r>
      <w:r w:rsidR="00E07448">
        <w:t xml:space="preserve">For these reasons, the LGA has over 20 key policy messages </w:t>
      </w:r>
      <w:r w:rsidR="00820F7C">
        <w:t xml:space="preserve">which </w:t>
      </w:r>
      <w:r w:rsidR="004D0307">
        <w:t xml:space="preserve">are relevant </w:t>
      </w:r>
      <w:r w:rsidR="00820F7C">
        <w:t>to the strategy</w:t>
      </w:r>
      <w:r w:rsidR="00645D06">
        <w:t>.</w:t>
      </w:r>
      <w:r w:rsidR="001E3763">
        <w:t xml:space="preserve"> </w:t>
      </w:r>
    </w:p>
    <w:p w14:paraId="1E8E5423" w14:textId="3777F51E" w:rsidR="005B6024" w:rsidRDefault="00AD5376" w:rsidP="00E272FA">
      <w:pPr>
        <w:pStyle w:val="ListParagraph"/>
        <w:numPr>
          <w:ilvl w:val="0"/>
          <w:numId w:val="3"/>
        </w:numPr>
        <w:spacing w:line="300" w:lineRule="atLeast"/>
        <w:contextualSpacing w:val="0"/>
      </w:pPr>
      <w:r>
        <w:t xml:space="preserve">We can, of course, </w:t>
      </w:r>
      <w:r w:rsidR="00EC7DFF">
        <w:t xml:space="preserve">include all of the LGA’s existing policy messages in our </w:t>
      </w:r>
      <w:r w:rsidR="00AF6C8B">
        <w:t xml:space="preserve">formal response to the call for evidence on the Major </w:t>
      </w:r>
      <w:r w:rsidR="00F61307">
        <w:t xml:space="preserve">Conditions Strategy but it would be helpful in sharpening our focus if the Board could agree </w:t>
      </w:r>
      <w:r w:rsidR="007240E0">
        <w:t>the most important broad</w:t>
      </w:r>
      <w:r w:rsidR="00F61307">
        <w:t xml:space="preserve"> messages </w:t>
      </w:r>
      <w:r w:rsidR="0079517E">
        <w:t xml:space="preserve">on which </w:t>
      </w:r>
      <w:r w:rsidR="00B65900">
        <w:t xml:space="preserve">to focus </w:t>
      </w:r>
      <w:r w:rsidR="00F61307">
        <w:t>our inf</w:t>
      </w:r>
      <w:r w:rsidR="0079517E">
        <w:t xml:space="preserve">luencing activity. </w:t>
      </w:r>
    </w:p>
    <w:p w14:paraId="781DCD40" w14:textId="7777F89D" w:rsidR="00C050DE" w:rsidRDefault="00C050DE" w:rsidP="00E272FA">
      <w:pPr>
        <w:pStyle w:val="ListParagraph"/>
        <w:numPr>
          <w:ilvl w:val="0"/>
          <w:numId w:val="3"/>
        </w:numPr>
        <w:spacing w:line="300" w:lineRule="atLeast"/>
        <w:contextualSpacing w:val="0"/>
      </w:pPr>
      <w:r>
        <w:t>The proposed</w:t>
      </w:r>
      <w:r w:rsidR="002032E4">
        <w:t xml:space="preserve"> broad priority</w:t>
      </w:r>
      <w:r>
        <w:t xml:space="preserve"> key messages are set out below:</w:t>
      </w:r>
    </w:p>
    <w:p w14:paraId="70B2FA96" w14:textId="6A714685" w:rsidR="00115F46" w:rsidRDefault="0060408E" w:rsidP="00D74AE9">
      <w:pPr>
        <w:numPr>
          <w:ilvl w:val="0"/>
          <w:numId w:val="8"/>
        </w:numPr>
        <w:spacing w:after="0" w:line="240" w:lineRule="auto"/>
        <w:rPr>
          <w:rFonts w:cs="Arial"/>
        </w:rPr>
      </w:pPr>
      <w:r w:rsidRPr="0060408E">
        <w:rPr>
          <w:b/>
          <w:bCs/>
        </w:rPr>
        <w:t>Take an inclusive approach, reaching beyond the NHS</w:t>
      </w:r>
      <w:r>
        <w:t xml:space="preserve"> - </w:t>
      </w:r>
      <w:r w:rsidR="00115F46" w:rsidRPr="00A41D66">
        <w:rPr>
          <w:rFonts w:cs="Arial"/>
        </w:rPr>
        <w:t>It is clear to us that the strategy cannot be limited to clinical interventions and the work of the NHS</w:t>
      </w:r>
      <w:r w:rsidR="00647181">
        <w:rPr>
          <w:rFonts w:cs="Arial"/>
        </w:rPr>
        <w:t>.</w:t>
      </w:r>
      <w:r w:rsidR="00115F46" w:rsidRPr="00A41D66">
        <w:rPr>
          <w:rFonts w:cs="Arial"/>
        </w:rPr>
        <w:t xml:space="preserve"> We are keen to work with Government to ensure that local government partners, who are vital in planning and delivering prevention, care and support, are closely involved in developing the scope and content of the strategy.  </w:t>
      </w:r>
    </w:p>
    <w:p w14:paraId="1DC2AED1" w14:textId="14DC12F7" w:rsidR="0005039F" w:rsidRDefault="00425BBE" w:rsidP="00D74AE9">
      <w:pPr>
        <w:numPr>
          <w:ilvl w:val="0"/>
          <w:numId w:val="8"/>
        </w:numPr>
        <w:spacing w:after="0" w:line="240" w:lineRule="auto"/>
        <w:rPr>
          <w:rFonts w:cs="Arial"/>
        </w:rPr>
      </w:pPr>
      <w:r w:rsidRPr="00425BBE">
        <w:rPr>
          <w:rFonts w:cs="Arial"/>
          <w:b/>
          <w:bCs/>
        </w:rPr>
        <w:lastRenderedPageBreak/>
        <w:t>Join up national Government planning and action</w:t>
      </w:r>
      <w:r>
        <w:rPr>
          <w:rFonts w:cs="Arial"/>
        </w:rPr>
        <w:t xml:space="preserve"> - </w:t>
      </w:r>
      <w:r w:rsidR="0005039F" w:rsidRPr="00AA6968">
        <w:rPr>
          <w:rFonts w:cs="Arial"/>
        </w:rPr>
        <w:t>Given the cross-cutting and multi-factorial nature of improving health outcomes, we urgently need a cross-</w:t>
      </w:r>
      <w:r w:rsidR="00C17A8C">
        <w:rPr>
          <w:rFonts w:cs="Arial"/>
        </w:rPr>
        <w:t>G</w:t>
      </w:r>
      <w:r w:rsidR="00C17A8C" w:rsidRPr="00AA6968">
        <w:rPr>
          <w:rFonts w:cs="Arial"/>
        </w:rPr>
        <w:t xml:space="preserve">overnment </w:t>
      </w:r>
      <w:r w:rsidR="0005039F" w:rsidRPr="00AA6968">
        <w:rPr>
          <w:rFonts w:cs="Arial"/>
        </w:rPr>
        <w:t>approach to the MCS</w:t>
      </w:r>
      <w:r w:rsidR="003D2840">
        <w:rPr>
          <w:rFonts w:cs="Arial"/>
        </w:rPr>
        <w:t xml:space="preserve"> that addresses the wider determinants of health</w:t>
      </w:r>
      <w:r w:rsidR="0005039F" w:rsidRPr="00AA6968">
        <w:rPr>
          <w:rFonts w:cs="Arial"/>
        </w:rPr>
        <w:t xml:space="preserve"> – led by DHSC but with involvement</w:t>
      </w:r>
      <w:r w:rsidR="0005039F">
        <w:rPr>
          <w:rFonts w:cs="Arial"/>
        </w:rPr>
        <w:t xml:space="preserve"> of other Government departments. </w:t>
      </w:r>
      <w:r w:rsidR="00AD3658">
        <w:rPr>
          <w:rFonts w:cs="Arial"/>
        </w:rPr>
        <w:t xml:space="preserve">This should also include </w:t>
      </w:r>
      <w:r w:rsidR="00A36575">
        <w:rPr>
          <w:rFonts w:cs="Arial"/>
        </w:rPr>
        <w:t xml:space="preserve">a long-term workforce plan across health, social care, public health and the voluntary, community and social enterprise sector </w:t>
      </w:r>
      <w:r w:rsidR="000F3782">
        <w:rPr>
          <w:rFonts w:cs="Arial"/>
        </w:rPr>
        <w:t xml:space="preserve">(VCSE) </w:t>
      </w:r>
      <w:r w:rsidR="00A36575">
        <w:rPr>
          <w:rFonts w:cs="Arial"/>
        </w:rPr>
        <w:t xml:space="preserve">to improve physical and mental health. </w:t>
      </w:r>
    </w:p>
    <w:p w14:paraId="59D03CC9" w14:textId="77777777" w:rsidR="009873C9" w:rsidRPr="00AA6968" w:rsidRDefault="009873C9" w:rsidP="009873C9">
      <w:pPr>
        <w:spacing w:after="0" w:line="240" w:lineRule="auto"/>
        <w:ind w:left="720" w:firstLine="0"/>
        <w:rPr>
          <w:rFonts w:cs="Arial"/>
        </w:rPr>
      </w:pPr>
    </w:p>
    <w:p w14:paraId="7B867498" w14:textId="24B8C78F" w:rsidR="00503A11" w:rsidRDefault="00503A11" w:rsidP="00D74AE9">
      <w:pPr>
        <w:numPr>
          <w:ilvl w:val="0"/>
          <w:numId w:val="8"/>
        </w:numPr>
        <w:spacing w:after="0" w:line="240" w:lineRule="auto"/>
        <w:rPr>
          <w:rFonts w:cs="Arial"/>
        </w:rPr>
      </w:pPr>
      <w:r w:rsidRPr="00425BBE">
        <w:rPr>
          <w:rFonts w:cs="Arial"/>
          <w:b/>
          <w:bCs/>
        </w:rPr>
        <w:t>Prevention and early intervention needs to be a key feature of the strategy</w:t>
      </w:r>
      <w:r w:rsidR="00425BBE">
        <w:rPr>
          <w:rFonts w:cs="Arial"/>
        </w:rPr>
        <w:t xml:space="preserve"> - </w:t>
      </w:r>
      <w:r w:rsidRPr="00AA6968">
        <w:rPr>
          <w:rFonts w:cs="Arial"/>
        </w:rPr>
        <w:t xml:space="preserve"> For many years prevention has been overshadowed by clinical treatment and, as such, explicit and additional investment in prevention is required. This is a more cost effective approach t</w:t>
      </w:r>
      <w:r>
        <w:rPr>
          <w:rFonts w:cs="Arial"/>
        </w:rPr>
        <w:t>han</w:t>
      </w:r>
      <w:r w:rsidRPr="00AA6968">
        <w:rPr>
          <w:rFonts w:cs="Arial"/>
        </w:rPr>
        <w:t xml:space="preserve"> treating major conditions once they have developed. Many mental health and physical health conditions have their roots in childhood so children’s mental and physical health and wellbeing needs to be a key focus in terms of prevention, early identification and intervention, and providing treatment and support. </w:t>
      </w:r>
    </w:p>
    <w:p w14:paraId="5FCC78F0" w14:textId="77777777" w:rsidR="009873C9" w:rsidRPr="00AA6968" w:rsidRDefault="009873C9" w:rsidP="009873C9">
      <w:pPr>
        <w:spacing w:after="0" w:line="240" w:lineRule="auto"/>
        <w:ind w:left="720" w:firstLine="0"/>
        <w:rPr>
          <w:rFonts w:cs="Arial"/>
        </w:rPr>
      </w:pPr>
    </w:p>
    <w:p w14:paraId="4576B036" w14:textId="0852F294" w:rsidR="00107377" w:rsidRDefault="00107377" w:rsidP="00D74AE9">
      <w:pPr>
        <w:pStyle w:val="ListParagraph"/>
        <w:numPr>
          <w:ilvl w:val="0"/>
          <w:numId w:val="8"/>
        </w:numPr>
        <w:spacing w:after="0" w:line="240" w:lineRule="auto"/>
        <w:contextualSpacing w:val="0"/>
        <w:rPr>
          <w:rFonts w:cs="Arial"/>
        </w:rPr>
      </w:pPr>
      <w:r w:rsidRPr="00264E94">
        <w:rPr>
          <w:rFonts w:cs="Arial"/>
          <w:b/>
          <w:bCs/>
        </w:rPr>
        <w:t>The MCS needs to reflect the key adult social care sector principles of a person-centred, place-based approach and outcome based approach</w:t>
      </w:r>
      <w:r w:rsidR="00264E94">
        <w:rPr>
          <w:rFonts w:cs="Arial"/>
        </w:rPr>
        <w:t xml:space="preserve"> - </w:t>
      </w:r>
      <w:r w:rsidR="001F02A9">
        <w:rPr>
          <w:rFonts w:cs="Arial"/>
        </w:rPr>
        <w:t>T</w:t>
      </w:r>
      <w:r w:rsidRPr="008E7595">
        <w:rPr>
          <w:rFonts w:cs="Arial"/>
        </w:rPr>
        <w:t xml:space="preserve">he focus should be how all care and support services across health, care, the </w:t>
      </w:r>
      <w:r w:rsidR="000F3782">
        <w:rPr>
          <w:rFonts w:cs="Arial"/>
        </w:rPr>
        <w:t>VCSE</w:t>
      </w:r>
      <w:r w:rsidRPr="008E7595">
        <w:rPr>
          <w:rFonts w:cs="Arial"/>
        </w:rPr>
        <w:t xml:space="preserve"> sector and other sectors enable individuals to lead their lives as they wish, independent within their own communities wherever possible.</w:t>
      </w:r>
      <w:r w:rsidR="00C64551">
        <w:rPr>
          <w:rFonts w:cs="Arial"/>
        </w:rPr>
        <w:t xml:space="preserve"> </w:t>
      </w:r>
      <w:r w:rsidR="00F60FD6">
        <w:rPr>
          <w:rFonts w:cs="Arial"/>
        </w:rPr>
        <w:t xml:space="preserve">A well trained and valued </w:t>
      </w:r>
      <w:r w:rsidR="00A74E81">
        <w:rPr>
          <w:rFonts w:cs="Arial"/>
        </w:rPr>
        <w:t>workforce is essential for h</w:t>
      </w:r>
      <w:r w:rsidR="00C64551">
        <w:rPr>
          <w:rFonts w:cs="Arial"/>
        </w:rPr>
        <w:t xml:space="preserve">igh </w:t>
      </w:r>
      <w:r w:rsidR="00A64310">
        <w:rPr>
          <w:rFonts w:cs="Arial"/>
        </w:rPr>
        <w:t xml:space="preserve">quality care and support </w:t>
      </w:r>
      <w:r w:rsidR="0082490C">
        <w:rPr>
          <w:rFonts w:cs="Arial"/>
        </w:rPr>
        <w:t xml:space="preserve">and should, therefore, be a key component in the MCS. </w:t>
      </w:r>
    </w:p>
    <w:p w14:paraId="7130D3B5" w14:textId="77777777" w:rsidR="009873C9" w:rsidRPr="008E7595" w:rsidRDefault="009873C9" w:rsidP="009873C9">
      <w:pPr>
        <w:pStyle w:val="ListParagraph"/>
        <w:numPr>
          <w:ilvl w:val="0"/>
          <w:numId w:val="0"/>
        </w:numPr>
        <w:spacing w:after="0" w:line="240" w:lineRule="auto"/>
        <w:ind w:left="720"/>
        <w:contextualSpacing w:val="0"/>
        <w:rPr>
          <w:rFonts w:cs="Arial"/>
        </w:rPr>
      </w:pPr>
    </w:p>
    <w:p w14:paraId="1436D2FC" w14:textId="73C2636D" w:rsidR="00911258" w:rsidRDefault="001F02A9" w:rsidP="00D74AE9">
      <w:pPr>
        <w:numPr>
          <w:ilvl w:val="0"/>
          <w:numId w:val="8"/>
        </w:numPr>
        <w:spacing w:after="0" w:line="240" w:lineRule="auto"/>
        <w:rPr>
          <w:rFonts w:cs="Arial"/>
        </w:rPr>
      </w:pPr>
      <w:r w:rsidRPr="00930C5F">
        <w:rPr>
          <w:rFonts w:cs="Arial"/>
          <w:b/>
          <w:bCs/>
        </w:rPr>
        <w:t>C</w:t>
      </w:r>
      <w:r w:rsidR="00911258" w:rsidRPr="00930C5F">
        <w:rPr>
          <w:rFonts w:cs="Arial"/>
          <w:b/>
          <w:bCs/>
        </w:rPr>
        <w:t xml:space="preserve">hildren and young people’s health </w:t>
      </w:r>
      <w:r w:rsidRPr="00930C5F">
        <w:rPr>
          <w:rFonts w:cs="Arial"/>
          <w:b/>
          <w:bCs/>
        </w:rPr>
        <w:t>needs to be embedded in the strategy</w:t>
      </w:r>
      <w:r w:rsidRPr="00930C5F">
        <w:rPr>
          <w:rFonts w:cs="Arial"/>
        </w:rPr>
        <w:t xml:space="preserve"> </w:t>
      </w:r>
      <w:r w:rsidR="00911258" w:rsidRPr="00930C5F">
        <w:rPr>
          <w:rFonts w:cs="Arial"/>
        </w:rPr>
        <w:t>–</w:t>
      </w:r>
      <w:r w:rsidRPr="00930C5F">
        <w:rPr>
          <w:rFonts w:cs="Arial"/>
        </w:rPr>
        <w:t xml:space="preserve"> </w:t>
      </w:r>
      <w:r w:rsidR="00911258" w:rsidRPr="00930C5F">
        <w:rPr>
          <w:rFonts w:cs="Arial"/>
        </w:rPr>
        <w:t xml:space="preserve">It is crucial that Government maintains a strong focus on children and young people’s physical and mental health.  We are concerned that without </w:t>
      </w:r>
      <w:r w:rsidR="00A8622E">
        <w:rPr>
          <w:rFonts w:cs="Arial"/>
        </w:rPr>
        <w:t>an</w:t>
      </w:r>
      <w:r w:rsidR="00911258" w:rsidRPr="00930C5F">
        <w:rPr>
          <w:rFonts w:cs="Arial"/>
        </w:rPr>
        <w:t xml:space="preserve"> explicit strategy on children’s health, this will be overlooked.</w:t>
      </w:r>
      <w:r w:rsidR="004B3251" w:rsidRPr="00930C5F">
        <w:rPr>
          <w:rFonts w:cs="Arial"/>
        </w:rPr>
        <w:t xml:space="preserve"> </w:t>
      </w:r>
      <w:r w:rsidR="00930C5F" w:rsidRPr="00930C5F">
        <w:rPr>
          <w:rFonts w:cs="Arial"/>
        </w:rPr>
        <w:t xml:space="preserve">Many </w:t>
      </w:r>
      <w:r w:rsidR="00911258" w:rsidRPr="00930C5F">
        <w:rPr>
          <w:rFonts w:cs="Arial"/>
        </w:rPr>
        <w:t>of the conditions in the strategy are primarily, though not exclusively, experienced by adults rather than children and young people so there is a high risk that children’s</w:t>
      </w:r>
      <w:r w:rsidR="00930C5F" w:rsidRPr="00930C5F">
        <w:rPr>
          <w:rFonts w:cs="Arial"/>
        </w:rPr>
        <w:t xml:space="preserve"> physical and</w:t>
      </w:r>
      <w:r w:rsidR="00911258" w:rsidRPr="00930C5F">
        <w:rPr>
          <w:rFonts w:cs="Arial"/>
        </w:rPr>
        <w:t xml:space="preserve"> mental health may not receive the prominence it deserves.</w:t>
      </w:r>
      <w:r w:rsidR="00930C5F" w:rsidRPr="00930C5F">
        <w:rPr>
          <w:rFonts w:cs="Arial"/>
        </w:rPr>
        <w:t xml:space="preserve"> Furthermore, </w:t>
      </w:r>
      <w:r w:rsidR="00930C5F">
        <w:rPr>
          <w:rFonts w:cs="Arial"/>
        </w:rPr>
        <w:t xml:space="preserve">the strategy </w:t>
      </w:r>
      <w:r w:rsidR="00ED34D9">
        <w:rPr>
          <w:rFonts w:cs="Arial"/>
        </w:rPr>
        <w:t>must</w:t>
      </w:r>
      <w:r w:rsidR="00ED34D9" w:rsidRPr="00930C5F">
        <w:rPr>
          <w:rFonts w:cs="Arial"/>
        </w:rPr>
        <w:t xml:space="preserve"> </w:t>
      </w:r>
      <w:r w:rsidR="00911258" w:rsidRPr="00930C5F">
        <w:rPr>
          <w:rFonts w:cs="Arial"/>
        </w:rPr>
        <w:t>recognise that children have unique and distinct needs</w:t>
      </w:r>
      <w:r w:rsidR="00A81E1C">
        <w:rPr>
          <w:rFonts w:cs="Arial"/>
        </w:rPr>
        <w:t xml:space="preserve">, </w:t>
      </w:r>
      <w:r w:rsidR="00911258" w:rsidRPr="00930C5F">
        <w:rPr>
          <w:rFonts w:cs="Arial"/>
        </w:rPr>
        <w:t>and a separate legislative framework</w:t>
      </w:r>
      <w:r w:rsidR="00843E56">
        <w:rPr>
          <w:rFonts w:cs="Arial"/>
        </w:rPr>
        <w:t>,</w:t>
      </w:r>
      <w:r w:rsidR="00911258" w:rsidRPr="00930C5F">
        <w:rPr>
          <w:rFonts w:cs="Arial"/>
        </w:rPr>
        <w:t xml:space="preserve"> so th</w:t>
      </w:r>
      <w:r w:rsidR="00AD30DC">
        <w:rPr>
          <w:rFonts w:cs="Arial"/>
        </w:rPr>
        <w:t>at</w:t>
      </w:r>
      <w:r w:rsidR="00911258" w:rsidRPr="00930C5F">
        <w:rPr>
          <w:rFonts w:cs="Arial"/>
        </w:rPr>
        <w:t xml:space="preserve"> an all age approach</w:t>
      </w:r>
      <w:r w:rsidR="00A81E1C">
        <w:rPr>
          <w:rFonts w:cs="Arial"/>
        </w:rPr>
        <w:t xml:space="preserve"> may be difficult</w:t>
      </w:r>
      <w:r w:rsidR="00911258" w:rsidRPr="00930C5F">
        <w:rPr>
          <w:rFonts w:cs="Arial"/>
        </w:rPr>
        <w:t xml:space="preserve">. </w:t>
      </w:r>
    </w:p>
    <w:p w14:paraId="036D460F" w14:textId="77777777" w:rsidR="009873C9" w:rsidRPr="00930C5F" w:rsidRDefault="009873C9" w:rsidP="009873C9">
      <w:pPr>
        <w:spacing w:after="0" w:line="240" w:lineRule="auto"/>
        <w:ind w:left="720" w:firstLine="0"/>
        <w:rPr>
          <w:rFonts w:cs="Arial"/>
        </w:rPr>
      </w:pPr>
    </w:p>
    <w:p w14:paraId="1648CF7D" w14:textId="483DEF04" w:rsidR="00911258" w:rsidRPr="00AA6968" w:rsidRDefault="00A81E1C" w:rsidP="00D74AE9">
      <w:pPr>
        <w:numPr>
          <w:ilvl w:val="0"/>
          <w:numId w:val="8"/>
        </w:numPr>
        <w:spacing w:after="0" w:line="240" w:lineRule="auto"/>
        <w:rPr>
          <w:rFonts w:cs="Arial"/>
        </w:rPr>
      </w:pPr>
      <w:r w:rsidRPr="008257A2">
        <w:rPr>
          <w:rFonts w:cs="Arial"/>
          <w:b/>
          <w:bCs/>
        </w:rPr>
        <w:t>Health inequalities must be central</w:t>
      </w:r>
      <w:r>
        <w:rPr>
          <w:rFonts w:cs="Arial"/>
        </w:rPr>
        <w:t xml:space="preserve"> </w:t>
      </w:r>
      <w:r w:rsidR="008257A2">
        <w:rPr>
          <w:rFonts w:cs="Arial"/>
        </w:rPr>
        <w:t xml:space="preserve">- </w:t>
      </w:r>
      <w:r w:rsidR="00911258" w:rsidRPr="00AA6968">
        <w:rPr>
          <w:rFonts w:cs="Arial"/>
        </w:rPr>
        <w:t xml:space="preserve">We understand that the </w:t>
      </w:r>
      <w:r w:rsidR="00744F0D">
        <w:rPr>
          <w:rFonts w:cs="Arial"/>
        </w:rPr>
        <w:t>now shelved</w:t>
      </w:r>
      <w:r w:rsidR="00744F0D" w:rsidRPr="00AA6968">
        <w:rPr>
          <w:rFonts w:cs="Arial"/>
        </w:rPr>
        <w:t xml:space="preserve"> </w:t>
      </w:r>
      <w:r w:rsidR="00911258" w:rsidRPr="00AA6968">
        <w:rPr>
          <w:rFonts w:cs="Arial"/>
        </w:rPr>
        <w:t xml:space="preserve">Health Disparities White Paper will be incorporated into the </w:t>
      </w:r>
      <w:r w:rsidR="008D696F">
        <w:rPr>
          <w:rFonts w:cs="Arial"/>
        </w:rPr>
        <w:t>MCS</w:t>
      </w:r>
      <w:r w:rsidR="00911258" w:rsidRPr="00AA6968">
        <w:rPr>
          <w:rFonts w:cs="Arial"/>
        </w:rPr>
        <w:t>. We are concerned and disappointed at the abandonment of a separate strategy to address the widening disparities in health</w:t>
      </w:r>
      <w:r w:rsidR="00911258">
        <w:rPr>
          <w:rFonts w:cs="Arial"/>
        </w:rPr>
        <w:t>. W</w:t>
      </w:r>
      <w:r w:rsidR="00911258" w:rsidRPr="00AA6968">
        <w:rPr>
          <w:rFonts w:cs="Arial"/>
        </w:rPr>
        <w:t xml:space="preserve">e will </w:t>
      </w:r>
      <w:r w:rsidR="008D696F">
        <w:rPr>
          <w:rFonts w:cs="Arial"/>
        </w:rPr>
        <w:t>continue</w:t>
      </w:r>
      <w:r w:rsidR="00911258" w:rsidRPr="00AA6968">
        <w:rPr>
          <w:rFonts w:cs="Arial"/>
        </w:rPr>
        <w:t xml:space="preserve"> to press the Government that the MCS clearly </w:t>
      </w:r>
      <w:r w:rsidR="004B343C">
        <w:rPr>
          <w:rFonts w:cs="Arial"/>
        </w:rPr>
        <w:t xml:space="preserve"> focuses on</w:t>
      </w:r>
      <w:r w:rsidR="00911258" w:rsidRPr="00AA6968">
        <w:rPr>
          <w:rFonts w:cs="Arial"/>
        </w:rPr>
        <w:t xml:space="preserve"> health inequalities in all major conditions. </w:t>
      </w:r>
    </w:p>
    <w:p w14:paraId="1DAD1C13" w14:textId="77777777" w:rsidR="0005039F" w:rsidRPr="00A41D66" w:rsidRDefault="0005039F" w:rsidP="008257A2">
      <w:pPr>
        <w:spacing w:after="0" w:line="240" w:lineRule="auto"/>
        <w:ind w:left="720" w:firstLine="0"/>
        <w:rPr>
          <w:rFonts w:cs="Arial"/>
        </w:rPr>
      </w:pPr>
    </w:p>
    <w:p w14:paraId="0A8C96A3" w14:textId="46127A34" w:rsidR="00645D06" w:rsidRDefault="002032E4" w:rsidP="00E272FA">
      <w:pPr>
        <w:pStyle w:val="ListParagraph"/>
        <w:numPr>
          <w:ilvl w:val="0"/>
          <w:numId w:val="3"/>
        </w:numPr>
        <w:spacing w:line="300" w:lineRule="atLeast"/>
        <w:contextualSpacing w:val="0"/>
      </w:pPr>
      <w:r>
        <w:t>The Board is requested to consider and agree the above messages</w:t>
      </w:r>
      <w:r w:rsidR="007533B4">
        <w:t xml:space="preserve"> as the key priorities in the LGA response to the Major Conditions Strategy. </w:t>
      </w:r>
    </w:p>
    <w:p w14:paraId="5195382A" w14:textId="77777777" w:rsidR="00E272FA" w:rsidRPr="00B66284" w:rsidRDefault="00E272FA" w:rsidP="00E272FA">
      <w:pPr>
        <w:pStyle w:val="Heading2"/>
      </w:pPr>
      <w:r w:rsidRPr="00B66284">
        <w:lastRenderedPageBreak/>
        <w:t xml:space="preserve">Implications for Wales </w:t>
      </w:r>
    </w:p>
    <w:p w14:paraId="64987E85" w14:textId="6048D754" w:rsidR="00E272FA" w:rsidRPr="00803F83" w:rsidRDefault="000C720F" w:rsidP="00E272FA">
      <w:pPr>
        <w:pStyle w:val="ListParagraph"/>
        <w:numPr>
          <w:ilvl w:val="0"/>
          <w:numId w:val="3"/>
        </w:numPr>
        <w:spacing w:line="300" w:lineRule="atLeast"/>
        <w:contextualSpacing w:val="0"/>
        <w:rPr>
          <w:color w:val="C00000"/>
        </w:rPr>
      </w:pPr>
      <w:r>
        <w:t xml:space="preserve">Health is a devolved responsibility and, therefore, the proposed Multiple Conditions Strategy will apply only to England. </w:t>
      </w:r>
    </w:p>
    <w:p w14:paraId="493A974C" w14:textId="77777777" w:rsidR="00E272FA" w:rsidRPr="00B66284" w:rsidRDefault="00E272FA" w:rsidP="00E272FA">
      <w:pPr>
        <w:pStyle w:val="Heading2"/>
      </w:pPr>
      <w:r w:rsidRPr="00B66284">
        <w:t xml:space="preserve">Financial Implications  </w:t>
      </w:r>
    </w:p>
    <w:p w14:paraId="53487478" w14:textId="7572546C" w:rsidR="00A95ED5" w:rsidRPr="002422C3" w:rsidRDefault="006177BD" w:rsidP="00A95ED5">
      <w:pPr>
        <w:pStyle w:val="ListParagraph"/>
        <w:numPr>
          <w:ilvl w:val="0"/>
          <w:numId w:val="3"/>
        </w:numPr>
        <w:spacing w:line="300" w:lineRule="atLeast"/>
        <w:contextualSpacing w:val="0"/>
      </w:pPr>
      <w:r>
        <w:t xml:space="preserve">We do not yet have sufficient information on the Major Conditions Strategy to </w:t>
      </w:r>
      <w:r w:rsidR="00A95ED5">
        <w:t>identify whether there will be any financial implications for local government in implementation any of the proposals in the strategy.</w:t>
      </w:r>
    </w:p>
    <w:p w14:paraId="752828F0" w14:textId="77777777" w:rsidR="00E272FA" w:rsidRPr="00B66284" w:rsidRDefault="00E272FA" w:rsidP="00E272FA">
      <w:pPr>
        <w:pStyle w:val="Heading2"/>
      </w:pPr>
      <w:r w:rsidRPr="00B66284">
        <w:t xml:space="preserve">Equalities implications </w:t>
      </w:r>
    </w:p>
    <w:p w14:paraId="39FB1886" w14:textId="16F4AAFF" w:rsidR="00E272FA" w:rsidRPr="00D23330" w:rsidRDefault="00D23330" w:rsidP="00D23330">
      <w:pPr>
        <w:pStyle w:val="ListParagraph"/>
        <w:numPr>
          <w:ilvl w:val="0"/>
          <w:numId w:val="3"/>
        </w:numPr>
        <w:spacing w:line="300" w:lineRule="atLeast"/>
        <w:contextualSpacing w:val="0"/>
        <w:rPr>
          <w:color w:val="C00000"/>
        </w:rPr>
      </w:pPr>
      <w:r>
        <w:t xml:space="preserve">We do not yet have sufficient detail on the Major Conditions Strategy to understand the equalities implications.  The Secretary of State for Health and Social Care, in announcing the strategy, reiterated the Government commitment to gaining five additional years of healthy life expectancy by 2035 and to narrow the gap in health life expectancy by 2030.  He also underlined that the MSC will include the key commitments with regard to health disparities.  </w:t>
      </w:r>
    </w:p>
    <w:p w14:paraId="70E8925C" w14:textId="77777777" w:rsidR="00E272FA" w:rsidRPr="00B66284" w:rsidRDefault="00E272FA" w:rsidP="00E272FA">
      <w:pPr>
        <w:pStyle w:val="Heading2"/>
      </w:pPr>
      <w:r w:rsidRPr="00B66284">
        <w:t xml:space="preserve">Next steps </w:t>
      </w:r>
    </w:p>
    <w:bookmarkEnd w:id="0"/>
    <w:p w14:paraId="2543D0C7" w14:textId="77FA787A" w:rsidR="00E272FA" w:rsidRPr="004748F8" w:rsidRDefault="00D23330" w:rsidP="00E272FA">
      <w:pPr>
        <w:pStyle w:val="ListParagraph"/>
        <w:numPr>
          <w:ilvl w:val="0"/>
          <w:numId w:val="3"/>
        </w:numPr>
        <w:spacing w:line="300" w:lineRule="atLeast"/>
        <w:contextualSpacing w:val="0"/>
      </w:pPr>
      <w:r>
        <w:t xml:space="preserve">The Community Wellbeing Board is requested to agree that LGA’s key priorities in our response to the Major Conditions Strategy. </w:t>
      </w:r>
    </w:p>
    <w:p w14:paraId="6BAC82CC" w14:textId="77777777" w:rsidR="009B6F95" w:rsidRPr="00C803F3" w:rsidRDefault="009B6F95" w:rsidP="00E272FA">
      <w:pPr>
        <w:pStyle w:val="Title1"/>
      </w:pPr>
    </w:p>
    <w:sectPr w:rsidR="009B6F95" w:rsidRPr="00C803F3" w:rsidSect="0032419B">
      <w:headerReference w:type="default" r:id="rId13"/>
      <w:footerReference w:type="default" r:id="rId14"/>
      <w:headerReference w:type="first" r:id="rId15"/>
      <w:footerReference w:type="first" r:id="rId1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EF25" w14:textId="77777777" w:rsidR="00BF7544" w:rsidRPr="00C803F3" w:rsidRDefault="00BF7544" w:rsidP="00C803F3">
      <w:r>
        <w:separator/>
      </w:r>
    </w:p>
  </w:endnote>
  <w:endnote w:type="continuationSeparator" w:id="0">
    <w:p w14:paraId="7BD461B8" w14:textId="77777777" w:rsidR="00BF7544" w:rsidRPr="00C803F3" w:rsidRDefault="00BF7544" w:rsidP="00C803F3">
      <w:r>
        <w:continuationSeparator/>
      </w:r>
    </w:p>
  </w:endnote>
  <w:endnote w:type="continuationNotice" w:id="1">
    <w:p w14:paraId="62B63135" w14:textId="77777777" w:rsidR="00BF7544" w:rsidRDefault="00BF7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D5D3" w14:textId="77777777" w:rsidR="00BF7544" w:rsidRPr="00C803F3" w:rsidRDefault="00BF7544" w:rsidP="00C803F3">
      <w:r>
        <w:separator/>
      </w:r>
    </w:p>
  </w:footnote>
  <w:footnote w:type="continuationSeparator" w:id="0">
    <w:p w14:paraId="0381C051" w14:textId="77777777" w:rsidR="00BF7544" w:rsidRPr="00C803F3" w:rsidRDefault="00BF7544" w:rsidP="00C803F3">
      <w:r>
        <w:continuationSeparator/>
      </w:r>
    </w:p>
  </w:footnote>
  <w:footnote w:type="continuationNotice" w:id="1">
    <w:p w14:paraId="70DD9377" w14:textId="77777777" w:rsidR="00BF7544" w:rsidRDefault="00BF7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4327D4E1" w:rsidR="00076675" w:rsidRPr="00C803F3" w:rsidRDefault="006C6551" w:rsidP="00076675">
              <w:r>
                <w:t>Community Wellbeing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7T00:00:00Z">
              <w:dateFormat w:val="d MMMM yyyy"/>
              <w:lid w:val="en-GB"/>
              <w:storeMappedDataAs w:val="text"/>
              <w:calendar w:val="gregorian"/>
            </w:date>
          </w:sdtPr>
          <w:sdtEndPr/>
          <w:sdtContent>
            <w:p w14:paraId="44ABF6D1" w14:textId="47BD2D2A" w:rsidR="00076675" w:rsidRPr="00C803F3" w:rsidRDefault="00076675" w:rsidP="00076675">
              <w:r>
                <w:t>1</w:t>
              </w:r>
              <w:r w:rsidR="006C6551">
                <w:t xml:space="preserve">7 </w:t>
              </w:r>
              <w:r>
                <w:t>May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B40E08"/>
    <w:multiLevelType w:val="hybridMultilevel"/>
    <w:tmpl w:val="24EE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04C50"/>
    <w:multiLevelType w:val="multilevel"/>
    <w:tmpl w:val="2724E600"/>
    <w:lvl w:ilvl="0">
      <w:start w:val="1"/>
      <w:numFmt w:val="decimal"/>
      <w:lvlText w:val="7.%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9F55C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1F64B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746942"/>
    <w:multiLevelType w:val="hybridMultilevel"/>
    <w:tmpl w:val="5EC66420"/>
    <w:lvl w:ilvl="0" w:tplc="0809000F">
      <w:start w:val="1"/>
      <w:numFmt w:val="decimal"/>
      <w:lvlText w:val="%1."/>
      <w:lvlJc w:val="left"/>
      <w:pPr>
        <w:ind w:left="814" w:hanging="360"/>
      </w:pPr>
      <w:rPr>
        <w:rFonts w:hint="default"/>
      </w:rPr>
    </w:lvl>
    <w:lvl w:ilvl="1" w:tplc="FFFFFFFF" w:tentative="1">
      <w:start w:val="1"/>
      <w:numFmt w:val="bullet"/>
      <w:lvlText w:val="o"/>
      <w:lvlJc w:val="left"/>
      <w:pPr>
        <w:ind w:left="1534" w:hanging="360"/>
      </w:pPr>
      <w:rPr>
        <w:rFonts w:ascii="Courier New" w:hAnsi="Courier New" w:cs="Courier New" w:hint="default"/>
      </w:rPr>
    </w:lvl>
    <w:lvl w:ilvl="2" w:tplc="FFFFFFFF" w:tentative="1">
      <w:start w:val="1"/>
      <w:numFmt w:val="bullet"/>
      <w:lvlText w:val=""/>
      <w:lvlJc w:val="left"/>
      <w:pPr>
        <w:ind w:left="2254" w:hanging="360"/>
      </w:pPr>
      <w:rPr>
        <w:rFonts w:ascii="Wingdings" w:hAnsi="Wingdings" w:hint="default"/>
      </w:rPr>
    </w:lvl>
    <w:lvl w:ilvl="3" w:tplc="FFFFFFFF" w:tentative="1">
      <w:start w:val="1"/>
      <w:numFmt w:val="bullet"/>
      <w:lvlText w:val=""/>
      <w:lvlJc w:val="left"/>
      <w:pPr>
        <w:ind w:left="2974" w:hanging="360"/>
      </w:pPr>
      <w:rPr>
        <w:rFonts w:ascii="Symbol" w:hAnsi="Symbol" w:hint="default"/>
      </w:rPr>
    </w:lvl>
    <w:lvl w:ilvl="4" w:tplc="FFFFFFFF" w:tentative="1">
      <w:start w:val="1"/>
      <w:numFmt w:val="bullet"/>
      <w:lvlText w:val="o"/>
      <w:lvlJc w:val="left"/>
      <w:pPr>
        <w:ind w:left="3694" w:hanging="360"/>
      </w:pPr>
      <w:rPr>
        <w:rFonts w:ascii="Courier New" w:hAnsi="Courier New" w:cs="Courier New" w:hint="default"/>
      </w:rPr>
    </w:lvl>
    <w:lvl w:ilvl="5" w:tplc="FFFFFFFF" w:tentative="1">
      <w:start w:val="1"/>
      <w:numFmt w:val="bullet"/>
      <w:lvlText w:val=""/>
      <w:lvlJc w:val="left"/>
      <w:pPr>
        <w:ind w:left="4414" w:hanging="360"/>
      </w:pPr>
      <w:rPr>
        <w:rFonts w:ascii="Wingdings" w:hAnsi="Wingdings" w:hint="default"/>
      </w:rPr>
    </w:lvl>
    <w:lvl w:ilvl="6" w:tplc="FFFFFFFF" w:tentative="1">
      <w:start w:val="1"/>
      <w:numFmt w:val="bullet"/>
      <w:lvlText w:val=""/>
      <w:lvlJc w:val="left"/>
      <w:pPr>
        <w:ind w:left="5134" w:hanging="360"/>
      </w:pPr>
      <w:rPr>
        <w:rFonts w:ascii="Symbol" w:hAnsi="Symbol" w:hint="default"/>
      </w:rPr>
    </w:lvl>
    <w:lvl w:ilvl="7" w:tplc="FFFFFFFF" w:tentative="1">
      <w:start w:val="1"/>
      <w:numFmt w:val="bullet"/>
      <w:lvlText w:val="o"/>
      <w:lvlJc w:val="left"/>
      <w:pPr>
        <w:ind w:left="5854" w:hanging="360"/>
      </w:pPr>
      <w:rPr>
        <w:rFonts w:ascii="Courier New" w:hAnsi="Courier New" w:cs="Courier New" w:hint="default"/>
      </w:rPr>
    </w:lvl>
    <w:lvl w:ilvl="8" w:tplc="FFFFFFFF" w:tentative="1">
      <w:start w:val="1"/>
      <w:numFmt w:val="bullet"/>
      <w:lvlText w:val=""/>
      <w:lvlJc w:val="left"/>
      <w:pPr>
        <w:ind w:left="6574" w:hanging="360"/>
      </w:pPr>
      <w:rPr>
        <w:rFonts w:ascii="Wingdings" w:hAnsi="Wingdings" w:hint="default"/>
      </w:rPr>
    </w:lvl>
  </w:abstractNum>
  <w:num w:numId="1" w16cid:durableId="1183083424">
    <w:abstractNumId w:val="1"/>
  </w:num>
  <w:num w:numId="2" w16cid:durableId="210727316">
    <w:abstractNumId w:val="0"/>
  </w:num>
  <w:num w:numId="3" w16cid:durableId="1204634698">
    <w:abstractNumId w:val="4"/>
  </w:num>
  <w:num w:numId="4" w16cid:durableId="1731608642">
    <w:abstractNumId w:val="2"/>
  </w:num>
  <w:num w:numId="5" w16cid:durableId="1607734984">
    <w:abstractNumId w:val="7"/>
  </w:num>
  <w:num w:numId="6" w16cid:durableId="854154191">
    <w:abstractNumId w:val="5"/>
  </w:num>
  <w:num w:numId="7" w16cid:durableId="1465731487">
    <w:abstractNumId w:val="6"/>
  </w:num>
  <w:num w:numId="8" w16cid:durableId="1372463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4D49"/>
    <w:rsid w:val="0005039F"/>
    <w:rsid w:val="00056FE1"/>
    <w:rsid w:val="00071601"/>
    <w:rsid w:val="00075C90"/>
    <w:rsid w:val="00076675"/>
    <w:rsid w:val="000A47B2"/>
    <w:rsid w:val="000C720F"/>
    <w:rsid w:val="000D1A14"/>
    <w:rsid w:val="000D44E0"/>
    <w:rsid w:val="000D6C33"/>
    <w:rsid w:val="000F3782"/>
    <w:rsid w:val="000F69FB"/>
    <w:rsid w:val="00107377"/>
    <w:rsid w:val="00115F46"/>
    <w:rsid w:val="0012376E"/>
    <w:rsid w:val="00167476"/>
    <w:rsid w:val="00187D2D"/>
    <w:rsid w:val="001B28F1"/>
    <w:rsid w:val="001B2D35"/>
    <w:rsid w:val="001B36CE"/>
    <w:rsid w:val="001E3763"/>
    <w:rsid w:val="001F02A9"/>
    <w:rsid w:val="002032E4"/>
    <w:rsid w:val="002373DF"/>
    <w:rsid w:val="002460BD"/>
    <w:rsid w:val="00246AF0"/>
    <w:rsid w:val="002539E9"/>
    <w:rsid w:val="00264E94"/>
    <w:rsid w:val="00266341"/>
    <w:rsid w:val="002A1523"/>
    <w:rsid w:val="002A68E9"/>
    <w:rsid w:val="002A6CED"/>
    <w:rsid w:val="002E13B5"/>
    <w:rsid w:val="002F26E4"/>
    <w:rsid w:val="00301A51"/>
    <w:rsid w:val="003219CC"/>
    <w:rsid w:val="0032419B"/>
    <w:rsid w:val="00326F2C"/>
    <w:rsid w:val="00356B92"/>
    <w:rsid w:val="003B30F7"/>
    <w:rsid w:val="003C1758"/>
    <w:rsid w:val="003C6F30"/>
    <w:rsid w:val="003D2840"/>
    <w:rsid w:val="00424526"/>
    <w:rsid w:val="00425BBE"/>
    <w:rsid w:val="004970F3"/>
    <w:rsid w:val="004B3251"/>
    <w:rsid w:val="004B343C"/>
    <w:rsid w:val="004C0557"/>
    <w:rsid w:val="004D0307"/>
    <w:rsid w:val="004D55F4"/>
    <w:rsid w:val="004E0225"/>
    <w:rsid w:val="004E6641"/>
    <w:rsid w:val="004F315E"/>
    <w:rsid w:val="00503A11"/>
    <w:rsid w:val="00567515"/>
    <w:rsid w:val="005727EA"/>
    <w:rsid w:val="005854E0"/>
    <w:rsid w:val="005A2485"/>
    <w:rsid w:val="005B5F26"/>
    <w:rsid w:val="005B6024"/>
    <w:rsid w:val="005C3F53"/>
    <w:rsid w:val="0060408E"/>
    <w:rsid w:val="00605270"/>
    <w:rsid w:val="00605E06"/>
    <w:rsid w:val="006177BD"/>
    <w:rsid w:val="00633A84"/>
    <w:rsid w:val="00645D06"/>
    <w:rsid w:val="00647181"/>
    <w:rsid w:val="00650884"/>
    <w:rsid w:val="00673532"/>
    <w:rsid w:val="006C6551"/>
    <w:rsid w:val="006D685A"/>
    <w:rsid w:val="006E29A6"/>
    <w:rsid w:val="006E7CDA"/>
    <w:rsid w:val="00703A1A"/>
    <w:rsid w:val="00712C86"/>
    <w:rsid w:val="007240E0"/>
    <w:rsid w:val="00726512"/>
    <w:rsid w:val="00743874"/>
    <w:rsid w:val="007440D2"/>
    <w:rsid w:val="00744F0D"/>
    <w:rsid w:val="007533B4"/>
    <w:rsid w:val="007536C1"/>
    <w:rsid w:val="007622BA"/>
    <w:rsid w:val="0076387A"/>
    <w:rsid w:val="0079517E"/>
    <w:rsid w:val="00795C95"/>
    <w:rsid w:val="007C31BC"/>
    <w:rsid w:val="007E372A"/>
    <w:rsid w:val="0080661C"/>
    <w:rsid w:val="00807BAC"/>
    <w:rsid w:val="00820F7C"/>
    <w:rsid w:val="0082490C"/>
    <w:rsid w:val="0082567F"/>
    <w:rsid w:val="008257A2"/>
    <w:rsid w:val="00843E56"/>
    <w:rsid w:val="008504A7"/>
    <w:rsid w:val="00874D11"/>
    <w:rsid w:val="008817E9"/>
    <w:rsid w:val="008819CA"/>
    <w:rsid w:val="00891AE9"/>
    <w:rsid w:val="008D696F"/>
    <w:rsid w:val="00911258"/>
    <w:rsid w:val="0091723E"/>
    <w:rsid w:val="00930C5F"/>
    <w:rsid w:val="009873C9"/>
    <w:rsid w:val="009B1AA8"/>
    <w:rsid w:val="009B45F2"/>
    <w:rsid w:val="009B54C2"/>
    <w:rsid w:val="009B6F95"/>
    <w:rsid w:val="009F0DD7"/>
    <w:rsid w:val="00A36575"/>
    <w:rsid w:val="00A64310"/>
    <w:rsid w:val="00A74E81"/>
    <w:rsid w:val="00A81E1C"/>
    <w:rsid w:val="00A8622E"/>
    <w:rsid w:val="00A95ED5"/>
    <w:rsid w:val="00AB1BDC"/>
    <w:rsid w:val="00AD30DC"/>
    <w:rsid w:val="00AD3658"/>
    <w:rsid w:val="00AD5376"/>
    <w:rsid w:val="00AE1813"/>
    <w:rsid w:val="00AF2F9C"/>
    <w:rsid w:val="00AF6C8B"/>
    <w:rsid w:val="00B44305"/>
    <w:rsid w:val="00B65900"/>
    <w:rsid w:val="00B66284"/>
    <w:rsid w:val="00B823BD"/>
    <w:rsid w:val="00B84F31"/>
    <w:rsid w:val="00BB7083"/>
    <w:rsid w:val="00BC287A"/>
    <w:rsid w:val="00BC768C"/>
    <w:rsid w:val="00BE1C26"/>
    <w:rsid w:val="00BF4960"/>
    <w:rsid w:val="00BF7544"/>
    <w:rsid w:val="00C050DE"/>
    <w:rsid w:val="00C16991"/>
    <w:rsid w:val="00C17A8C"/>
    <w:rsid w:val="00C55A9E"/>
    <w:rsid w:val="00C64551"/>
    <w:rsid w:val="00C7596B"/>
    <w:rsid w:val="00C803F3"/>
    <w:rsid w:val="00C84505"/>
    <w:rsid w:val="00CA18D7"/>
    <w:rsid w:val="00D23330"/>
    <w:rsid w:val="00D318E4"/>
    <w:rsid w:val="00D45B4D"/>
    <w:rsid w:val="00D61CC8"/>
    <w:rsid w:val="00D74AE9"/>
    <w:rsid w:val="00DA1C8C"/>
    <w:rsid w:val="00DA271F"/>
    <w:rsid w:val="00DA7394"/>
    <w:rsid w:val="00E01BDA"/>
    <w:rsid w:val="00E0591F"/>
    <w:rsid w:val="00E07448"/>
    <w:rsid w:val="00E208E5"/>
    <w:rsid w:val="00E272FA"/>
    <w:rsid w:val="00E50EE2"/>
    <w:rsid w:val="00E849D7"/>
    <w:rsid w:val="00EC10C2"/>
    <w:rsid w:val="00EC7DFF"/>
    <w:rsid w:val="00ED34D9"/>
    <w:rsid w:val="00F25009"/>
    <w:rsid w:val="00F5468B"/>
    <w:rsid w:val="00F56CEF"/>
    <w:rsid w:val="00F60FD6"/>
    <w:rsid w:val="00F61307"/>
    <w:rsid w:val="00F827BD"/>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26512"/>
    <w:pPr>
      <w:ind w:left="0" w:firstLine="0"/>
    </w:pPr>
    <w:rPr>
      <w:b/>
      <w:bCs/>
      <w:sz w:val="24"/>
      <w:szCs w:val="24"/>
    </w:rPr>
  </w:style>
  <w:style w:type="character" w:customStyle="1" w:styleId="Title3Char">
    <w:name w:val="Title 3 Char"/>
    <w:basedOn w:val="DefaultParagraphFont"/>
    <w:link w:val="Title3"/>
    <w:rsid w:val="00726512"/>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Revision">
    <w:name w:val="Revision"/>
    <w:hidden/>
    <w:uiPriority w:val="99"/>
    <w:semiHidden/>
    <w:rsid w:val="00AD30DC"/>
    <w:pPr>
      <w:spacing w:after="0" w:line="240" w:lineRule="auto"/>
    </w:pPr>
    <w:rPr>
      <w:rFonts w:ascii="Arial" w:eastAsiaTheme="minorHAnsi" w:hAnsi="Arial"/>
      <w:lang w:eastAsia="en-US"/>
    </w:rPr>
  </w:style>
  <w:style w:type="character" w:styleId="CommentReference">
    <w:name w:val="annotation reference"/>
    <w:basedOn w:val="DefaultParagraphFont"/>
    <w:uiPriority w:val="99"/>
    <w:semiHidden/>
    <w:unhideWhenUsed/>
    <w:rsid w:val="004C0557"/>
    <w:rPr>
      <w:sz w:val="16"/>
      <w:szCs w:val="16"/>
    </w:rPr>
  </w:style>
  <w:style w:type="paragraph" w:styleId="CommentText">
    <w:name w:val="annotation text"/>
    <w:basedOn w:val="Normal"/>
    <w:link w:val="CommentTextChar"/>
    <w:uiPriority w:val="99"/>
    <w:semiHidden/>
    <w:unhideWhenUsed/>
    <w:rsid w:val="004C0557"/>
    <w:pPr>
      <w:spacing w:line="240" w:lineRule="auto"/>
    </w:pPr>
    <w:rPr>
      <w:sz w:val="20"/>
      <w:szCs w:val="20"/>
    </w:rPr>
  </w:style>
  <w:style w:type="character" w:customStyle="1" w:styleId="CommentTextChar">
    <w:name w:val="Comment Text Char"/>
    <w:basedOn w:val="DefaultParagraphFont"/>
    <w:link w:val="CommentText"/>
    <w:uiPriority w:val="99"/>
    <w:semiHidden/>
    <w:rsid w:val="004C055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C0557"/>
    <w:rPr>
      <w:b/>
      <w:bCs/>
    </w:rPr>
  </w:style>
  <w:style w:type="character" w:customStyle="1" w:styleId="CommentSubjectChar">
    <w:name w:val="Comment Subject Char"/>
    <w:basedOn w:val="CommentTextChar"/>
    <w:link w:val="CommentSubject"/>
    <w:uiPriority w:val="99"/>
    <w:semiHidden/>
    <w:rsid w:val="004C0557"/>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estions-statements.parliament.uk/written-statements/detail/2023-01-24/hcws514?utm_campaign=1204120_press%20release%20-%20response%20to%20multi-condition%20strategy&amp;utm_medium=email&amp;utm_source=NHS%20Confederation&amp;dm_i=6OI9,PT3S,2M7O6Z,371CM,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yson.morley@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3617B"/>
    <w:rsid w:val="00147BC1"/>
    <w:rsid w:val="001647EA"/>
    <w:rsid w:val="001E0F30"/>
    <w:rsid w:val="002C1437"/>
    <w:rsid w:val="00354EF0"/>
    <w:rsid w:val="0046142F"/>
    <w:rsid w:val="0047172F"/>
    <w:rsid w:val="00712850"/>
    <w:rsid w:val="007447C8"/>
    <w:rsid w:val="008351C9"/>
    <w:rsid w:val="0092034D"/>
    <w:rsid w:val="009A43ED"/>
    <w:rsid w:val="00A47E1F"/>
    <w:rsid w:val="00C24ECA"/>
    <w:rsid w:val="00C35EC1"/>
    <w:rsid w:val="00CA42F0"/>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Kevin Halden</DisplayName>
        <AccountId>17</AccountId>
        <AccountType/>
      </UserInfo>
      <UserInfo>
        <DisplayName>Charli Fudge</DisplayName>
        <AccountId>496</AccountId>
        <AccountType/>
      </UserInfo>
      <UserInfo>
        <DisplayName>Paul Ogden</DisplayName>
        <AccountId>20</AccountId>
        <AccountType/>
      </UserInfo>
      <UserInfo>
        <DisplayName>Emily Hackett</DisplayName>
        <AccountId>481</AccountId>
        <AccountType/>
      </UserInfo>
      <UserInfo>
        <DisplayName>Flora Wilkie</DisplayName>
        <AccountId>346</AccountId>
        <AccountType/>
      </UserInfo>
      <UserInfo>
        <DisplayName>Mark Norris,  LGA Policy</DisplayName>
        <AccountId>13</AccountId>
        <AccountType/>
      </UserInfo>
      <UserInfo>
        <DisplayName>Amy Haldane</DisplayName>
        <AccountId>295</AccountId>
        <AccountType/>
      </UserInfo>
      <UserInfo>
        <DisplayName>Alyson Morley</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1" ma:contentTypeDescription="Create a new document." ma:contentTypeScope="" ma:versionID="f69a6f98eadaeb444b38dec9588299ab">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fe6adeff35622c46f2ab93d9447f33fb"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a0a1e8d-1a33-4375-a4cf-e5973fee4cfb"/>
    <ds:schemaRef ds:uri="61f6d86c-03d7-48e0-9141-47a8479da315"/>
  </ds:schemaRefs>
</ds:datastoreItem>
</file>

<file path=customXml/itemProps3.xml><?xml version="1.0" encoding="utf-8"?>
<ds:datastoreItem xmlns:ds="http://schemas.openxmlformats.org/officeDocument/2006/customXml" ds:itemID="{8936D023-8F6E-4152-B234-78E482868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Amy Haldane</cp:lastModifiedBy>
  <cp:revision>10</cp:revision>
  <dcterms:created xsi:type="dcterms:W3CDTF">2023-05-10T11:11:00Z</dcterms:created>
  <dcterms:modified xsi:type="dcterms:W3CDTF">2023-05-11T14:47:00Z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